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554"/>
          <w:tab w:val="center" w:pos="4819"/>
        </w:tabs>
        <w:kinsoku/>
        <w:wordWrap/>
        <w:overflowPunct/>
        <w:topLinePunct w:val="0"/>
        <w:autoSpaceDE/>
        <w:autoSpaceDN/>
        <w:bidi w:val="0"/>
        <w:adjustRightInd/>
        <w:snapToGrid/>
        <w:textAlignment w:val="auto"/>
        <w:rPr>
          <w:rFonts w:ascii="仿宋" w:hAnsi="仿宋" w:eastAsia="仿宋" w:cs="Times New Roman"/>
          <w:b/>
          <w:sz w:val="28"/>
          <w:szCs w:val="28"/>
        </w:rPr>
      </w:pPr>
      <w:bookmarkStart w:id="0" w:name="_GoBack"/>
      <w:r>
        <w:rPr>
          <w:rFonts w:hint="eastAsia" w:ascii="仿宋" w:hAnsi="仿宋" w:eastAsia="仿宋" w:cs="Times New Roman"/>
          <w:b/>
          <w:sz w:val="28"/>
          <w:szCs w:val="28"/>
        </w:rPr>
        <w:t>附件1：</w:t>
      </w:r>
    </w:p>
    <w:p>
      <w:pPr>
        <w:tabs>
          <w:tab w:val="left" w:pos="2554"/>
          <w:tab w:val="center" w:pos="4819"/>
        </w:tabs>
        <w:adjustRightInd w:val="0"/>
        <w:snapToGrid w:val="0"/>
        <w:spacing w:line="360" w:lineRule="auto"/>
        <w:jc w:val="center"/>
        <w:rPr>
          <w:rFonts w:ascii="仿宋" w:hAnsi="仿宋" w:eastAsia="仿宋" w:cs="Times New Roman"/>
          <w:b/>
          <w:sz w:val="32"/>
          <w:szCs w:val="32"/>
        </w:rPr>
      </w:pPr>
      <w:r>
        <w:rPr>
          <w:rFonts w:ascii="仿宋" w:hAnsi="仿宋" w:eastAsia="仿宋" w:cs="Times New Roman"/>
          <w:b/>
          <w:sz w:val="32"/>
          <w:szCs w:val="32"/>
        </w:rPr>
        <w:t>应用化学拔尖班</w:t>
      </w:r>
      <w:r>
        <w:rPr>
          <w:rFonts w:hint="eastAsia" w:ascii="仿宋" w:hAnsi="仿宋" w:eastAsia="仿宋" w:cs="Times New Roman"/>
          <w:b/>
          <w:sz w:val="32"/>
          <w:szCs w:val="32"/>
        </w:rPr>
        <w:t>简介</w:t>
      </w:r>
      <w:bookmarkEnd w:id="0"/>
    </w:p>
    <w:p>
      <w:pPr>
        <w:keepNext w:val="0"/>
        <w:keepLines w:val="0"/>
        <w:pageBreakBefore w:val="0"/>
        <w:kinsoku/>
        <w:wordWrap/>
        <w:overflowPunct/>
        <w:topLinePunct w:val="0"/>
        <w:autoSpaceDE/>
        <w:autoSpaceDN/>
        <w:bidi w:val="0"/>
        <w:adjustRightInd w:val="0"/>
        <w:snapToGrid w:val="0"/>
        <w:spacing w:line="500" w:lineRule="exact"/>
        <w:ind w:firstLine="562" w:firstLineChars="200"/>
        <w:textAlignment w:val="auto"/>
        <w:rPr>
          <w:rFonts w:ascii="仿宋" w:hAnsi="仿宋" w:eastAsia="仿宋" w:cs="Times New Roman"/>
          <w:b/>
          <w:sz w:val="28"/>
          <w:szCs w:val="28"/>
        </w:rPr>
      </w:pPr>
      <w:r>
        <w:rPr>
          <w:rFonts w:ascii="仿宋" w:hAnsi="仿宋" w:eastAsia="仿宋" w:cs="Times New Roman"/>
          <w:b/>
          <w:sz w:val="28"/>
          <w:szCs w:val="28"/>
        </w:rPr>
        <w:t>一、</w:t>
      </w:r>
      <w:r>
        <w:rPr>
          <w:rFonts w:hint="eastAsia" w:ascii="仿宋" w:hAnsi="仿宋" w:eastAsia="仿宋" w:cs="Times New Roman"/>
          <w:b/>
          <w:sz w:val="28"/>
          <w:szCs w:val="28"/>
        </w:rPr>
        <w:t>基本情况</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firstLine="562" w:firstLineChars="200"/>
        <w:jc w:val="both"/>
        <w:textAlignment w:val="auto"/>
        <w:rPr>
          <w:rFonts w:ascii="仿宋" w:hAnsi="仿宋" w:eastAsia="仿宋" w:cs="Times New Roman"/>
          <w:sz w:val="28"/>
          <w:szCs w:val="28"/>
        </w:rPr>
      </w:pPr>
      <w:r>
        <w:rPr>
          <w:rFonts w:ascii="仿宋" w:hAnsi="仿宋" w:eastAsia="仿宋" w:cs="Times New Roman"/>
          <w:b/>
          <w:sz w:val="28"/>
          <w:szCs w:val="28"/>
        </w:rPr>
        <w:t>1、培养目标</w:t>
      </w:r>
      <w:r>
        <w:rPr>
          <w:rFonts w:hint="eastAsia" w:ascii="仿宋" w:hAnsi="仿宋" w:eastAsia="仿宋" w:cs="Times New Roman"/>
          <w:b/>
          <w:sz w:val="28"/>
          <w:szCs w:val="28"/>
        </w:rPr>
        <w:t>：</w:t>
      </w:r>
      <w:r>
        <w:rPr>
          <w:rFonts w:ascii="仿宋" w:hAnsi="仿宋" w:eastAsia="仿宋" w:cs="Times New Roman"/>
          <w:sz w:val="28"/>
          <w:szCs w:val="28"/>
        </w:rPr>
        <w:t>培养热爱化学事业、数理外语基础及化学基础知识厚实、实验技能扎实、具有较强创新能力的化学及相关领域的高级专门科学技术人才，</w:t>
      </w:r>
      <w:r>
        <w:rPr>
          <w:rFonts w:ascii="仿宋" w:hAnsi="仿宋" w:eastAsia="仿宋" w:cs="Times New Roman"/>
          <w:b/>
          <w:sz w:val="28"/>
          <w:szCs w:val="28"/>
        </w:rPr>
        <w:t>为</w:t>
      </w:r>
      <w:r>
        <w:rPr>
          <w:rFonts w:hint="eastAsia" w:ascii="仿宋" w:hAnsi="仿宋" w:eastAsia="仿宋" w:cs="Times New Roman"/>
          <w:b/>
          <w:sz w:val="28"/>
          <w:szCs w:val="28"/>
        </w:rPr>
        <w:t>“双一流”</w:t>
      </w:r>
      <w:r>
        <w:rPr>
          <w:rFonts w:ascii="仿宋" w:hAnsi="仿宋" w:eastAsia="仿宋" w:cs="Times New Roman"/>
          <w:b/>
          <w:sz w:val="28"/>
          <w:szCs w:val="28"/>
        </w:rPr>
        <w:t>院校、中国科学院</w:t>
      </w:r>
      <w:r>
        <w:rPr>
          <w:rFonts w:hint="eastAsia" w:ascii="仿宋" w:hAnsi="仿宋" w:eastAsia="仿宋" w:cs="Times New Roman"/>
          <w:b/>
          <w:sz w:val="28"/>
          <w:szCs w:val="28"/>
        </w:rPr>
        <w:t>等</w:t>
      </w:r>
      <w:r>
        <w:rPr>
          <w:rFonts w:ascii="仿宋" w:hAnsi="仿宋" w:eastAsia="仿宋" w:cs="Times New Roman"/>
          <w:b/>
          <w:sz w:val="28"/>
          <w:szCs w:val="28"/>
        </w:rPr>
        <w:t>科研院</w:t>
      </w:r>
      <w:r>
        <w:rPr>
          <w:rFonts w:ascii="仿宋" w:hAnsi="仿宋" w:eastAsia="仿宋" w:cs="Times New Roman"/>
          <w:sz w:val="28"/>
          <w:szCs w:val="28"/>
        </w:rPr>
        <w:t>所的化学</w:t>
      </w:r>
      <w:r>
        <w:rPr>
          <w:rFonts w:hint="eastAsia" w:ascii="仿宋" w:hAnsi="仿宋" w:eastAsia="仿宋" w:cs="Times New Roman"/>
          <w:sz w:val="28"/>
          <w:szCs w:val="28"/>
        </w:rPr>
        <w:t>及</w:t>
      </w:r>
      <w:r>
        <w:rPr>
          <w:rFonts w:ascii="仿宋" w:hAnsi="仿宋" w:eastAsia="仿宋" w:cs="Times New Roman"/>
          <w:sz w:val="28"/>
          <w:szCs w:val="28"/>
        </w:rPr>
        <w:t>相关学科输送</w:t>
      </w:r>
      <w:r>
        <w:rPr>
          <w:rFonts w:hint="eastAsia" w:ascii="仿宋" w:hAnsi="仿宋" w:eastAsia="仿宋" w:cs="Times New Roman"/>
          <w:sz w:val="28"/>
          <w:szCs w:val="28"/>
        </w:rPr>
        <w:t>继续</w:t>
      </w:r>
      <w:r>
        <w:rPr>
          <w:rFonts w:ascii="仿宋" w:hAnsi="仿宋" w:eastAsia="仿宋" w:cs="Times New Roman"/>
          <w:sz w:val="28"/>
          <w:szCs w:val="28"/>
        </w:rPr>
        <w:t>攻读硕士</w:t>
      </w:r>
      <w:r>
        <w:rPr>
          <w:rFonts w:hint="eastAsia" w:ascii="仿宋" w:hAnsi="仿宋" w:eastAsia="仿宋" w:cs="Times New Roman"/>
          <w:sz w:val="28"/>
          <w:szCs w:val="28"/>
        </w:rPr>
        <w:t>、博士</w:t>
      </w:r>
      <w:r>
        <w:rPr>
          <w:rFonts w:ascii="仿宋" w:hAnsi="仿宋" w:eastAsia="仿宋" w:cs="Times New Roman"/>
          <w:sz w:val="28"/>
          <w:szCs w:val="28"/>
        </w:rPr>
        <w:t xml:space="preserve">学位的优质生源。 </w:t>
      </w:r>
    </w:p>
    <w:p>
      <w:pPr>
        <w:pStyle w:val="2"/>
        <w:keepNext w:val="0"/>
        <w:keepLines w:val="0"/>
        <w:pageBreakBefore w:val="0"/>
        <w:kinsoku/>
        <w:wordWrap/>
        <w:overflowPunct/>
        <w:topLinePunct w:val="0"/>
        <w:autoSpaceDE/>
        <w:autoSpaceDN/>
        <w:bidi w:val="0"/>
        <w:adjustRightInd w:val="0"/>
        <w:snapToGrid w:val="0"/>
        <w:spacing w:before="0" w:beforeAutospacing="0" w:after="0" w:afterAutospacing="0" w:line="500" w:lineRule="exact"/>
        <w:ind w:firstLine="562" w:firstLineChars="200"/>
        <w:jc w:val="both"/>
        <w:textAlignment w:val="auto"/>
        <w:rPr>
          <w:rFonts w:ascii="仿宋" w:hAnsi="仿宋" w:eastAsia="仿宋" w:cs="Times New Roman"/>
          <w:sz w:val="28"/>
          <w:szCs w:val="28"/>
          <w:shd w:val="clear" w:color="auto" w:fill="FFFFFF"/>
        </w:rPr>
      </w:pPr>
      <w:r>
        <w:rPr>
          <w:rFonts w:ascii="仿宋" w:hAnsi="仿宋" w:eastAsia="仿宋" w:cs="Times New Roman"/>
          <w:b/>
          <w:sz w:val="28"/>
          <w:szCs w:val="28"/>
        </w:rPr>
        <w:t>2、培养模式</w:t>
      </w:r>
      <w:r>
        <w:rPr>
          <w:rFonts w:hint="eastAsia" w:ascii="仿宋" w:hAnsi="仿宋" w:eastAsia="仿宋" w:cs="Times New Roman"/>
          <w:b/>
          <w:sz w:val="28"/>
          <w:szCs w:val="28"/>
        </w:rPr>
        <w:t>：</w:t>
      </w:r>
      <w:r>
        <w:rPr>
          <w:rFonts w:ascii="仿宋" w:hAnsi="仿宋" w:eastAsia="仿宋" w:cs="Times New Roman"/>
          <w:sz w:val="28"/>
          <w:szCs w:val="28"/>
        </w:rPr>
        <w:t>采用</w:t>
      </w:r>
      <w:r>
        <w:rPr>
          <w:rFonts w:hint="eastAsia" w:ascii="仿宋" w:hAnsi="仿宋" w:eastAsia="仿宋"/>
          <w:sz w:val="28"/>
          <w:szCs w:val="28"/>
        </w:rPr>
        <w:t>“</w:t>
      </w:r>
      <w:r>
        <w:rPr>
          <w:rFonts w:ascii="仿宋" w:hAnsi="仿宋" w:eastAsia="仿宋" w:cs="Times New Roman"/>
          <w:sz w:val="28"/>
          <w:szCs w:val="28"/>
        </w:rPr>
        <w:t>小班化、个性化、全程导师化</w:t>
      </w:r>
      <w:r>
        <w:rPr>
          <w:rFonts w:hint="eastAsia" w:ascii="仿宋" w:hAnsi="仿宋" w:eastAsia="仿宋"/>
          <w:sz w:val="28"/>
          <w:szCs w:val="28"/>
        </w:rPr>
        <w:t>”</w:t>
      </w:r>
      <w:r>
        <w:rPr>
          <w:rFonts w:ascii="仿宋" w:hAnsi="仿宋" w:eastAsia="仿宋" w:cs="Times New Roman"/>
          <w:sz w:val="28"/>
          <w:szCs w:val="28"/>
        </w:rPr>
        <w:t>的教学模式，</w:t>
      </w:r>
      <w:r>
        <w:rPr>
          <w:rFonts w:hint="eastAsia" w:ascii="仿宋" w:hAnsi="仿宋" w:eastAsia="仿宋" w:cs="Times New Roman"/>
          <w:sz w:val="28"/>
          <w:szCs w:val="28"/>
        </w:rPr>
        <w:t>培养</w:t>
      </w:r>
      <w:r>
        <w:rPr>
          <w:rFonts w:ascii="仿宋" w:hAnsi="仿宋" w:eastAsia="仿宋" w:cs="Times New Roman"/>
          <w:sz w:val="28"/>
          <w:szCs w:val="28"/>
        </w:rPr>
        <w:t>全程由校内外一流教师担任导师</w:t>
      </w:r>
      <w:r>
        <w:rPr>
          <w:rFonts w:hint="eastAsia" w:ascii="仿宋" w:hAnsi="仿宋" w:eastAsia="仿宋" w:cs="Times New Roman"/>
          <w:sz w:val="28"/>
          <w:szCs w:val="28"/>
        </w:rPr>
        <w:t>和任课教师</w:t>
      </w:r>
      <w:r>
        <w:rPr>
          <w:rFonts w:ascii="仿宋" w:hAnsi="仿宋" w:eastAsia="仿宋" w:cs="Times New Roman"/>
          <w:sz w:val="28"/>
          <w:szCs w:val="28"/>
        </w:rPr>
        <w:t>，</w:t>
      </w:r>
      <w:r>
        <w:rPr>
          <w:rFonts w:hint="eastAsia" w:ascii="仿宋" w:hAnsi="仿宋" w:eastAsia="仿宋" w:cs="Times New Roman"/>
          <w:sz w:val="28"/>
          <w:szCs w:val="28"/>
        </w:rPr>
        <w:t>设有独特的</w:t>
      </w:r>
      <w:r>
        <w:rPr>
          <w:rFonts w:hint="eastAsia" w:ascii="仿宋" w:hAnsi="仿宋" w:eastAsia="仿宋"/>
          <w:sz w:val="28"/>
          <w:szCs w:val="28"/>
        </w:rPr>
        <w:t>“</w:t>
      </w:r>
      <w:r>
        <w:rPr>
          <w:rFonts w:ascii="仿宋" w:hAnsi="仿宋" w:eastAsia="仿宋" w:cs="Times New Roman"/>
          <w:sz w:val="28"/>
          <w:szCs w:val="28"/>
        </w:rPr>
        <w:t>科研创新实践</w:t>
      </w:r>
      <w:r>
        <w:rPr>
          <w:rFonts w:hint="eastAsia" w:ascii="仿宋" w:hAnsi="仿宋" w:eastAsia="仿宋"/>
          <w:sz w:val="28"/>
          <w:szCs w:val="28"/>
        </w:rPr>
        <w:t>”</w:t>
      </w:r>
      <w:r>
        <w:rPr>
          <w:rFonts w:hint="eastAsia" w:ascii="仿宋" w:hAnsi="仿宋" w:eastAsia="仿宋" w:cs="Times New Roman"/>
          <w:sz w:val="28"/>
          <w:szCs w:val="28"/>
        </w:rPr>
        <w:t>环节</w:t>
      </w:r>
      <w:r>
        <w:rPr>
          <w:rFonts w:ascii="仿宋" w:hAnsi="仿宋" w:eastAsia="仿宋" w:cs="Times New Roman"/>
          <w:sz w:val="28"/>
          <w:szCs w:val="28"/>
          <w:shd w:val="clear" w:color="auto" w:fill="FFFFFF"/>
        </w:rPr>
        <w:t>。学制四年，实行学分制，毕业时颁发应用化学专业本科学历证书</w:t>
      </w:r>
      <w:r>
        <w:rPr>
          <w:rFonts w:hint="eastAsia" w:ascii="仿宋" w:hAnsi="仿宋" w:eastAsia="仿宋" w:cs="Times New Roman"/>
          <w:sz w:val="28"/>
          <w:szCs w:val="28"/>
          <w:shd w:val="clear" w:color="auto" w:fill="FFFFFF"/>
        </w:rPr>
        <w:t>和拔尖班学业证书</w:t>
      </w:r>
      <w:r>
        <w:rPr>
          <w:rFonts w:ascii="仿宋" w:hAnsi="仿宋" w:eastAsia="仿宋" w:cs="Times New Roman"/>
          <w:sz w:val="28"/>
          <w:szCs w:val="28"/>
          <w:shd w:val="clear" w:color="auto" w:fill="FFFFFF"/>
        </w:rPr>
        <w:t>，授予理学学士学位。</w:t>
      </w:r>
    </w:p>
    <w:p>
      <w:pPr>
        <w:keepNext w:val="0"/>
        <w:keepLines w:val="0"/>
        <w:pageBreakBefore w:val="0"/>
        <w:kinsoku/>
        <w:wordWrap/>
        <w:overflowPunct/>
        <w:topLinePunct w:val="0"/>
        <w:autoSpaceDE/>
        <w:autoSpaceDN/>
        <w:bidi w:val="0"/>
        <w:adjustRightInd w:val="0"/>
        <w:snapToGrid w:val="0"/>
        <w:spacing w:line="500" w:lineRule="exact"/>
        <w:ind w:firstLine="562" w:firstLineChars="200"/>
        <w:textAlignment w:val="auto"/>
        <w:rPr>
          <w:rFonts w:ascii="仿宋" w:hAnsi="仿宋" w:eastAsia="仿宋" w:cs="Times New Roman"/>
          <w:bCs/>
          <w:sz w:val="28"/>
          <w:szCs w:val="28"/>
        </w:rPr>
      </w:pPr>
      <w:r>
        <w:rPr>
          <w:rFonts w:hint="eastAsia" w:ascii="仿宋" w:hAnsi="仿宋" w:eastAsia="仿宋" w:cs="Times New Roman"/>
          <w:b/>
          <w:bCs/>
          <w:sz w:val="28"/>
          <w:szCs w:val="28"/>
          <w:shd w:val="clear" w:color="auto" w:fill="FFFFFF"/>
        </w:rPr>
        <w:t>3、</w:t>
      </w:r>
      <w:r>
        <w:rPr>
          <w:rFonts w:ascii="仿宋" w:hAnsi="仿宋" w:eastAsia="仿宋" w:cs="Times New Roman"/>
          <w:b/>
          <w:sz w:val="28"/>
          <w:szCs w:val="28"/>
        </w:rPr>
        <w:t>师资力量</w:t>
      </w:r>
      <w:r>
        <w:rPr>
          <w:rFonts w:hint="eastAsia" w:ascii="仿宋" w:hAnsi="仿宋" w:eastAsia="仿宋" w:cs="Times New Roman"/>
          <w:b/>
          <w:sz w:val="28"/>
          <w:szCs w:val="28"/>
        </w:rPr>
        <w:t>：</w:t>
      </w:r>
      <w:r>
        <w:rPr>
          <w:rFonts w:hint="eastAsia" w:ascii="仿宋" w:hAnsi="仿宋" w:eastAsia="仿宋" w:cs="Times New Roman"/>
          <w:bCs/>
          <w:sz w:val="28"/>
          <w:szCs w:val="28"/>
        </w:rPr>
        <w:t>现有专职教师100余人，教师中具有高级职称61人，具有博士学位104人。拥有教育部新世纪优秀人才支持计划2人、新世纪百千万人才工程国家级人选1人，安徽省学术与技术带头人1人，皖江特聘教授2人，省杰青2人、省特支计划人选1人、省级教学名师2人、省级教坛新秀4人；现有博士生导师5人、硕士生导师63人，校外导师25人，还聘有中国科学院院士等一批国内外知名学者担任兼职教授和硕士生导师。</w:t>
      </w:r>
    </w:p>
    <w:p>
      <w:pPr>
        <w:keepNext w:val="0"/>
        <w:keepLines w:val="0"/>
        <w:pageBreakBefore w:val="0"/>
        <w:kinsoku/>
        <w:wordWrap/>
        <w:overflowPunct/>
        <w:topLinePunct w:val="0"/>
        <w:autoSpaceDE/>
        <w:autoSpaceDN/>
        <w:bidi w:val="0"/>
        <w:adjustRightInd w:val="0"/>
        <w:snapToGrid w:val="0"/>
        <w:spacing w:line="500" w:lineRule="exact"/>
        <w:ind w:firstLine="562" w:firstLineChars="200"/>
        <w:textAlignment w:val="auto"/>
        <w:rPr>
          <w:rFonts w:ascii="仿宋" w:hAnsi="仿宋" w:eastAsia="仿宋" w:cs="Times New Roman"/>
          <w:b/>
          <w:sz w:val="28"/>
          <w:szCs w:val="28"/>
        </w:rPr>
      </w:pPr>
      <w:r>
        <w:rPr>
          <w:rFonts w:hint="eastAsia" w:ascii="仿宋" w:hAnsi="仿宋" w:eastAsia="仿宋" w:cs="Times New Roman"/>
          <w:b/>
          <w:sz w:val="28"/>
          <w:szCs w:val="28"/>
        </w:rPr>
        <w:t>二、</w:t>
      </w:r>
      <w:r>
        <w:rPr>
          <w:rFonts w:ascii="仿宋" w:hAnsi="仿宋" w:eastAsia="仿宋" w:cs="Times New Roman"/>
          <w:b/>
          <w:sz w:val="28"/>
          <w:szCs w:val="28"/>
        </w:rPr>
        <w:t>办学模式</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ascii="仿宋" w:hAnsi="仿宋" w:eastAsia="仿宋" w:cs="Times New Roman"/>
          <w:sz w:val="28"/>
          <w:szCs w:val="28"/>
        </w:rPr>
      </w:pPr>
      <w:r>
        <w:rPr>
          <w:rFonts w:hint="eastAsia" w:ascii="仿宋" w:hAnsi="仿宋" w:eastAsia="仿宋" w:cs="Times New Roman"/>
          <w:sz w:val="28"/>
          <w:szCs w:val="28"/>
        </w:rPr>
        <w:t>1、固定化小班教学：依托2个国家一流专业建设点（应用化学专业和化学工程与工艺专业）的教学资源，3个省级科研创新平台等优势资源重点建设拔尖班。</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ascii="仿宋" w:hAnsi="仿宋" w:eastAsia="仿宋" w:cs="Times New Roman"/>
          <w:sz w:val="28"/>
          <w:szCs w:val="28"/>
        </w:rPr>
      </w:pPr>
      <w:r>
        <w:rPr>
          <w:rFonts w:hint="eastAsia" w:ascii="仿宋" w:hAnsi="仿宋" w:eastAsia="仿宋" w:cs="Times New Roman"/>
          <w:sz w:val="28"/>
          <w:szCs w:val="28"/>
        </w:rPr>
        <w:t>2、全程导师制：学生从入学开始配备本科生导师（每位导师指导学生不超过3名），通过导师的针对性指导，让每位学生建立适合自己的学习方法和积极的生活态度；通过课余时间参与导师的科研课题，培养和强化学生的动手实践能力、创新意识及科研素养。导师的指导不局限于学习，还包括思想动态的调整和疏导、学业及未来人生发展的规划等。</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ascii="仿宋" w:hAnsi="仿宋" w:eastAsia="仿宋" w:cs="Times New Roman"/>
          <w:sz w:val="28"/>
          <w:szCs w:val="28"/>
        </w:rPr>
      </w:pPr>
      <w:r>
        <w:rPr>
          <w:rFonts w:hint="eastAsia" w:ascii="仿宋" w:hAnsi="仿宋" w:eastAsia="仿宋" w:cs="Times New Roman"/>
          <w:sz w:val="28"/>
          <w:szCs w:val="28"/>
        </w:rPr>
        <w:t>3、集中优质师资：聘任教学经验和教学水平在同类课程教学中处于前列的骨干老师承担化学拔尖班各门课程的教学；对于重要的主干专业课，会利用晚自习额外辅导和答疑。</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ascii="仿宋" w:hAnsi="仿宋" w:eastAsia="仿宋" w:cs="Times New Roman"/>
          <w:sz w:val="28"/>
          <w:szCs w:val="28"/>
        </w:rPr>
      </w:pPr>
      <w:r>
        <w:rPr>
          <w:rFonts w:hint="eastAsia" w:ascii="仿宋" w:hAnsi="仿宋" w:eastAsia="仿宋" w:cs="Times New Roman"/>
          <w:sz w:val="28"/>
          <w:szCs w:val="28"/>
        </w:rPr>
        <w:t>4、课程设置重基础、重实践创新：拔尖班的专业基础课以及实践教学的学时比例明显要高于普通专业，专业基础理论课的教材基本采用国内985高校使用的经典教材，与专业基础理论课相配套的实验内容及学时也明显要高于普通专业。此外，拔尖班的专业实验一律实行1人一组。拔尖班在三至六学期会安排普通专业不具有的“科研创新实践”环节（每学期不少于2周），并以导师制下的学科竞赛为推手，切实推动学生实践创新能力的培养。</w:t>
      </w:r>
    </w:p>
    <w:p>
      <w:pPr>
        <w:keepNext w:val="0"/>
        <w:keepLines w:val="0"/>
        <w:pageBreakBefore w:val="0"/>
        <w:kinsoku/>
        <w:wordWrap/>
        <w:overflowPunct/>
        <w:topLinePunct w:val="0"/>
        <w:autoSpaceDE/>
        <w:autoSpaceDN/>
        <w:bidi w:val="0"/>
        <w:adjustRightInd w:val="0"/>
        <w:snapToGrid w:val="0"/>
        <w:spacing w:line="500" w:lineRule="exact"/>
        <w:ind w:firstLine="562" w:firstLineChars="200"/>
        <w:textAlignment w:val="auto"/>
        <w:rPr>
          <w:rFonts w:ascii="仿宋" w:hAnsi="仿宋" w:eastAsia="仿宋" w:cs="Times New Roman"/>
          <w:b/>
          <w:sz w:val="28"/>
          <w:szCs w:val="28"/>
        </w:rPr>
      </w:pPr>
      <w:r>
        <w:rPr>
          <w:rFonts w:hint="eastAsia" w:ascii="仿宋" w:hAnsi="仿宋" w:eastAsia="仿宋" w:cs="Times New Roman"/>
          <w:b/>
          <w:sz w:val="28"/>
          <w:szCs w:val="28"/>
        </w:rPr>
        <w:t>三、办学成果</w:t>
      </w:r>
    </w:p>
    <w:p>
      <w:pPr>
        <w:pStyle w:val="5"/>
        <w:keepNext w:val="0"/>
        <w:keepLines w:val="0"/>
        <w:pageBreakBefore w:val="0"/>
        <w:kinsoku/>
        <w:wordWrap/>
        <w:overflowPunct/>
        <w:topLinePunct w:val="0"/>
        <w:autoSpaceDE/>
        <w:autoSpaceDN/>
        <w:bidi w:val="0"/>
        <w:adjustRightInd w:val="0"/>
        <w:snapToGrid w:val="0"/>
        <w:spacing w:line="500" w:lineRule="exact"/>
        <w:ind w:firstLine="560"/>
        <w:textAlignment w:val="auto"/>
        <w:rPr>
          <w:rFonts w:ascii="仿宋" w:hAnsi="仿宋" w:eastAsia="仿宋" w:cs="Times New Roman"/>
          <w:bCs/>
          <w:sz w:val="28"/>
          <w:szCs w:val="28"/>
        </w:rPr>
      </w:pPr>
      <w:r>
        <w:rPr>
          <w:rFonts w:hint="eastAsia" w:ascii="仿宋" w:hAnsi="仿宋" w:eastAsia="仿宋" w:cs="Times New Roman"/>
          <w:sz w:val="28"/>
          <w:szCs w:val="28"/>
        </w:rPr>
        <w:t>1、目前已毕业的三届（2</w:t>
      </w:r>
      <w:r>
        <w:rPr>
          <w:rFonts w:ascii="仿宋" w:hAnsi="仿宋" w:eastAsia="仿宋" w:cs="Times New Roman"/>
          <w:sz w:val="28"/>
          <w:szCs w:val="28"/>
        </w:rPr>
        <w:t>01</w:t>
      </w:r>
      <w:r>
        <w:rPr>
          <w:rFonts w:hint="eastAsia" w:ascii="仿宋" w:hAnsi="仿宋" w:eastAsia="仿宋" w:cs="Times New Roman"/>
          <w:sz w:val="28"/>
          <w:szCs w:val="28"/>
          <w:lang w:val="en-US" w:eastAsia="zh-CN"/>
        </w:rPr>
        <w:t>7</w:t>
      </w:r>
      <w:r>
        <w:rPr>
          <w:rFonts w:hint="eastAsia" w:ascii="仿宋" w:hAnsi="仿宋" w:eastAsia="仿宋" w:cs="Times New Roman"/>
          <w:sz w:val="28"/>
          <w:szCs w:val="28"/>
        </w:rPr>
        <w:t>级、2</w:t>
      </w:r>
      <w:r>
        <w:rPr>
          <w:rFonts w:ascii="仿宋" w:hAnsi="仿宋" w:eastAsia="仿宋" w:cs="Times New Roman"/>
          <w:sz w:val="28"/>
          <w:szCs w:val="28"/>
        </w:rPr>
        <w:t>01</w:t>
      </w:r>
      <w:r>
        <w:rPr>
          <w:rFonts w:hint="eastAsia" w:ascii="仿宋" w:hAnsi="仿宋" w:eastAsia="仿宋" w:cs="Times New Roman"/>
          <w:sz w:val="28"/>
          <w:szCs w:val="28"/>
          <w:lang w:val="en-US" w:eastAsia="zh-CN"/>
        </w:rPr>
        <w:t>8</w:t>
      </w:r>
      <w:r>
        <w:rPr>
          <w:rFonts w:hint="eastAsia" w:ascii="仿宋" w:hAnsi="仿宋" w:eastAsia="仿宋" w:cs="Times New Roman"/>
          <w:sz w:val="28"/>
          <w:szCs w:val="28"/>
        </w:rPr>
        <w:t>级、2</w:t>
      </w:r>
      <w:r>
        <w:rPr>
          <w:rFonts w:ascii="仿宋" w:hAnsi="仿宋" w:eastAsia="仿宋" w:cs="Times New Roman"/>
          <w:sz w:val="28"/>
          <w:szCs w:val="28"/>
        </w:rPr>
        <w:t>01</w:t>
      </w:r>
      <w:r>
        <w:rPr>
          <w:rFonts w:hint="eastAsia" w:ascii="仿宋" w:hAnsi="仿宋" w:eastAsia="仿宋" w:cs="Times New Roman"/>
          <w:sz w:val="28"/>
          <w:szCs w:val="28"/>
          <w:lang w:val="en-US" w:eastAsia="zh-CN"/>
        </w:rPr>
        <w:t>9</w:t>
      </w:r>
      <w:r>
        <w:rPr>
          <w:rFonts w:hint="eastAsia" w:ascii="仿宋" w:hAnsi="仿宋" w:eastAsia="仿宋" w:cs="Times New Roman"/>
          <w:sz w:val="28"/>
          <w:szCs w:val="28"/>
        </w:rPr>
        <w:t>级）</w:t>
      </w:r>
      <w:r>
        <w:rPr>
          <w:rFonts w:ascii="仿宋" w:hAnsi="仿宋" w:eastAsia="仿宋" w:cs="Times New Roman"/>
          <w:sz w:val="28"/>
          <w:szCs w:val="28"/>
        </w:rPr>
        <w:t>毕业生</w:t>
      </w:r>
      <w:r>
        <w:rPr>
          <w:rFonts w:hint="eastAsia" w:ascii="仿宋" w:hAnsi="仿宋" w:eastAsia="仿宋" w:cs="Times New Roman"/>
          <w:sz w:val="28"/>
          <w:szCs w:val="28"/>
        </w:rPr>
        <w:t>，超过</w:t>
      </w:r>
      <w:r>
        <w:rPr>
          <w:rFonts w:hint="eastAsia" w:ascii="仿宋" w:hAnsi="仿宋" w:eastAsia="仿宋" w:cs="Times New Roman"/>
          <w:b/>
          <w:sz w:val="28"/>
          <w:szCs w:val="28"/>
        </w:rPr>
        <w:t>6</w:t>
      </w:r>
      <w:r>
        <w:rPr>
          <w:rFonts w:ascii="仿宋" w:hAnsi="仿宋" w:eastAsia="仿宋" w:cs="Times New Roman"/>
          <w:b/>
          <w:sz w:val="28"/>
          <w:szCs w:val="28"/>
        </w:rPr>
        <w:t>0</w:t>
      </w:r>
      <w:r>
        <w:rPr>
          <w:rFonts w:hint="eastAsia" w:ascii="仿宋" w:hAnsi="仿宋" w:eastAsia="仿宋" w:cs="Times New Roman"/>
          <w:b/>
          <w:sz w:val="28"/>
          <w:szCs w:val="28"/>
        </w:rPr>
        <w:t>%</w:t>
      </w:r>
      <w:r>
        <w:rPr>
          <w:rFonts w:ascii="仿宋" w:hAnsi="仿宋" w:eastAsia="仿宋" w:cs="Times New Roman"/>
          <w:sz w:val="28"/>
          <w:szCs w:val="28"/>
        </w:rPr>
        <w:t>考取研究生继续深造（</w:t>
      </w:r>
      <w:r>
        <w:rPr>
          <w:rFonts w:ascii="仿宋" w:hAnsi="仿宋" w:eastAsia="仿宋" w:cs="Times New Roman"/>
          <w:b/>
          <w:sz w:val="28"/>
          <w:szCs w:val="28"/>
        </w:rPr>
        <w:t>其中985及211高校占</w:t>
      </w:r>
      <w:r>
        <w:rPr>
          <w:rFonts w:hint="eastAsia" w:ascii="仿宋" w:hAnsi="仿宋" w:eastAsia="仿宋" w:cs="Times New Roman"/>
          <w:b/>
          <w:sz w:val="28"/>
          <w:szCs w:val="28"/>
        </w:rPr>
        <w:t>比超过7</w:t>
      </w:r>
      <w:r>
        <w:rPr>
          <w:rFonts w:ascii="仿宋" w:hAnsi="仿宋" w:eastAsia="仿宋" w:cs="Times New Roman"/>
          <w:b/>
          <w:sz w:val="28"/>
          <w:szCs w:val="28"/>
        </w:rPr>
        <w:t>5</w:t>
      </w:r>
      <w:r>
        <w:rPr>
          <w:rFonts w:hint="eastAsia" w:ascii="仿宋" w:hAnsi="仿宋" w:eastAsia="仿宋" w:cs="Times New Roman"/>
          <w:b/>
          <w:sz w:val="28"/>
          <w:szCs w:val="28"/>
        </w:rPr>
        <w:t>%</w:t>
      </w:r>
      <w:r>
        <w:rPr>
          <w:rFonts w:ascii="仿宋" w:hAnsi="仿宋" w:eastAsia="仿宋" w:cs="Times New Roman"/>
          <w:sz w:val="28"/>
          <w:szCs w:val="28"/>
        </w:rPr>
        <w:t>），</w:t>
      </w:r>
      <w:r>
        <w:rPr>
          <w:rFonts w:ascii="仿宋" w:hAnsi="仿宋" w:eastAsia="仿宋" w:cs="Times New Roman"/>
          <w:b/>
          <w:sz w:val="28"/>
          <w:szCs w:val="28"/>
        </w:rPr>
        <w:t>就业率100%</w:t>
      </w:r>
      <w:r>
        <w:rPr>
          <w:rFonts w:ascii="仿宋" w:hAnsi="仿宋" w:eastAsia="仿宋" w:cs="Times New Roman"/>
          <w:sz w:val="28"/>
          <w:szCs w:val="28"/>
        </w:rPr>
        <w:t>。</w:t>
      </w:r>
    </w:p>
    <w:p>
      <w:pPr>
        <w:pStyle w:val="5"/>
        <w:keepNext w:val="0"/>
        <w:keepLines w:val="0"/>
        <w:pageBreakBefore w:val="0"/>
        <w:kinsoku/>
        <w:wordWrap/>
        <w:overflowPunct/>
        <w:topLinePunct w:val="0"/>
        <w:autoSpaceDE/>
        <w:autoSpaceDN/>
        <w:bidi w:val="0"/>
        <w:adjustRightInd w:val="0"/>
        <w:snapToGrid w:val="0"/>
        <w:spacing w:line="500" w:lineRule="exact"/>
        <w:ind w:firstLine="560"/>
        <w:textAlignment w:val="auto"/>
        <w:rPr>
          <w:rFonts w:ascii="仿宋" w:hAnsi="仿宋" w:eastAsia="仿宋" w:cs="Times New Roman"/>
          <w:bCs/>
          <w:sz w:val="28"/>
          <w:szCs w:val="28"/>
        </w:rPr>
      </w:pPr>
      <w:r>
        <w:rPr>
          <w:rFonts w:hint="eastAsia" w:ascii="仿宋" w:hAnsi="仿宋" w:eastAsia="仿宋" w:cs="Times New Roman"/>
          <w:bCs/>
          <w:sz w:val="28"/>
          <w:szCs w:val="28"/>
        </w:rPr>
        <w:t>2、学校以及</w:t>
      </w:r>
      <w:r>
        <w:rPr>
          <w:rFonts w:hint="eastAsia" w:ascii="仿宋" w:hAnsi="仿宋" w:eastAsia="仿宋" w:cs="Times New Roman"/>
          <w:sz w:val="28"/>
          <w:szCs w:val="28"/>
        </w:rPr>
        <w:t>安徽省近几届高校大学生化学竞赛，每届全校共有来自十多个专业的数百名学生参赛，获得一、二等奖的学生中拔尖班占七成以上。</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ascii="仿宋" w:hAnsi="仿宋" w:eastAsia="仿宋" w:cs="Times New Roman"/>
          <w:sz w:val="28"/>
          <w:szCs w:val="28"/>
        </w:rPr>
      </w:pPr>
      <w:r>
        <w:rPr>
          <w:rFonts w:hint="eastAsia" w:ascii="仿宋" w:hAnsi="仿宋" w:eastAsia="仿宋" w:cs="Times New Roman"/>
          <w:sz w:val="28"/>
          <w:szCs w:val="28"/>
        </w:rPr>
        <w:t>3、在各种学科竞赛、</w:t>
      </w:r>
      <w:r>
        <w:rPr>
          <w:rFonts w:hint="eastAsia" w:ascii="仿宋" w:hAnsi="仿宋" w:eastAsia="仿宋" w:cs="Times New Roman"/>
          <w:bCs/>
          <w:sz w:val="28"/>
          <w:szCs w:val="28"/>
        </w:rPr>
        <w:t>发表学术论文</w:t>
      </w:r>
      <w:r>
        <w:rPr>
          <w:rFonts w:hint="eastAsia" w:ascii="仿宋" w:hAnsi="仿宋" w:eastAsia="仿宋" w:cs="Times New Roman"/>
          <w:sz w:val="28"/>
          <w:szCs w:val="28"/>
        </w:rPr>
        <w:t>与课外活动竞赛中，应化拔尖班的获奖率与业绩均明显超过其它普通班级，各项指标均位居全校前列。以已毕业的前三届（2</w:t>
      </w:r>
      <w:r>
        <w:rPr>
          <w:rFonts w:ascii="仿宋" w:hAnsi="仿宋" w:eastAsia="仿宋" w:cs="Times New Roman"/>
          <w:sz w:val="28"/>
          <w:szCs w:val="28"/>
        </w:rPr>
        <w:t>01</w:t>
      </w:r>
      <w:r>
        <w:rPr>
          <w:rFonts w:hint="eastAsia" w:ascii="仿宋" w:hAnsi="仿宋" w:eastAsia="仿宋" w:cs="Times New Roman"/>
          <w:sz w:val="28"/>
          <w:szCs w:val="28"/>
          <w:lang w:val="en-US" w:eastAsia="zh-CN"/>
        </w:rPr>
        <w:t>7</w:t>
      </w:r>
      <w:r>
        <w:rPr>
          <w:rFonts w:hint="eastAsia" w:ascii="仿宋" w:hAnsi="仿宋" w:eastAsia="仿宋" w:cs="Times New Roman"/>
          <w:sz w:val="28"/>
          <w:szCs w:val="28"/>
        </w:rPr>
        <w:t>级、2</w:t>
      </w:r>
      <w:r>
        <w:rPr>
          <w:rFonts w:ascii="仿宋" w:hAnsi="仿宋" w:eastAsia="仿宋" w:cs="Times New Roman"/>
          <w:sz w:val="28"/>
          <w:szCs w:val="28"/>
        </w:rPr>
        <w:t>01</w:t>
      </w:r>
      <w:r>
        <w:rPr>
          <w:rFonts w:hint="eastAsia" w:ascii="仿宋" w:hAnsi="仿宋" w:eastAsia="仿宋" w:cs="Times New Roman"/>
          <w:sz w:val="28"/>
          <w:szCs w:val="28"/>
          <w:lang w:val="en-US" w:eastAsia="zh-CN"/>
        </w:rPr>
        <w:t>8</w:t>
      </w:r>
      <w:r>
        <w:rPr>
          <w:rFonts w:hint="eastAsia" w:ascii="仿宋" w:hAnsi="仿宋" w:eastAsia="仿宋" w:cs="Times New Roman"/>
          <w:sz w:val="28"/>
          <w:szCs w:val="28"/>
        </w:rPr>
        <w:t>级、2</w:t>
      </w:r>
      <w:r>
        <w:rPr>
          <w:rFonts w:ascii="仿宋" w:hAnsi="仿宋" w:eastAsia="仿宋" w:cs="Times New Roman"/>
          <w:sz w:val="28"/>
          <w:szCs w:val="28"/>
        </w:rPr>
        <w:t>01</w:t>
      </w:r>
      <w:r>
        <w:rPr>
          <w:rFonts w:hint="eastAsia" w:ascii="仿宋" w:hAnsi="仿宋" w:eastAsia="仿宋" w:cs="Times New Roman"/>
          <w:sz w:val="28"/>
          <w:szCs w:val="28"/>
          <w:lang w:val="en-US" w:eastAsia="zh-CN"/>
        </w:rPr>
        <w:t>9</w:t>
      </w:r>
      <w:r>
        <w:rPr>
          <w:rFonts w:hint="eastAsia" w:ascii="仿宋" w:hAnsi="仿宋" w:eastAsia="仿宋" w:cs="Times New Roman"/>
          <w:sz w:val="28"/>
          <w:szCs w:val="28"/>
        </w:rPr>
        <w:t>级）为例，据不完全统计，拔尖班同学获奖学金及各类荣誉1</w:t>
      </w:r>
      <w:r>
        <w:rPr>
          <w:rFonts w:ascii="仿宋" w:hAnsi="仿宋" w:eastAsia="仿宋" w:cs="Times New Roman"/>
          <w:sz w:val="28"/>
          <w:szCs w:val="28"/>
        </w:rPr>
        <w:t>80</w:t>
      </w:r>
      <w:r>
        <w:rPr>
          <w:rFonts w:hint="eastAsia" w:ascii="仿宋" w:hAnsi="仿宋" w:eastAsia="仿宋" w:cs="Times New Roman"/>
          <w:sz w:val="28"/>
          <w:szCs w:val="28"/>
        </w:rPr>
        <w:t>余人次，其中</w:t>
      </w:r>
      <w:r>
        <w:rPr>
          <w:rFonts w:ascii="仿宋" w:hAnsi="仿宋" w:eastAsia="仿宋" w:cs="Times New Roman"/>
          <w:sz w:val="28"/>
          <w:szCs w:val="28"/>
        </w:rPr>
        <w:t>国家奖学金6</w:t>
      </w:r>
      <w:r>
        <w:rPr>
          <w:rFonts w:hint="eastAsia" w:ascii="仿宋" w:hAnsi="仿宋" w:eastAsia="仿宋" w:cs="Times New Roman"/>
          <w:sz w:val="28"/>
          <w:szCs w:val="28"/>
        </w:rPr>
        <w:t>人次，</w:t>
      </w:r>
      <w:r>
        <w:rPr>
          <w:rFonts w:ascii="仿宋" w:hAnsi="仿宋" w:eastAsia="仿宋" w:cs="Times New Roman"/>
          <w:sz w:val="28"/>
          <w:szCs w:val="28"/>
        </w:rPr>
        <w:t>国家励志奖学金12</w:t>
      </w:r>
      <w:r>
        <w:rPr>
          <w:rFonts w:hint="eastAsia" w:ascii="仿宋" w:hAnsi="仿宋" w:eastAsia="仿宋" w:cs="Times New Roman"/>
          <w:sz w:val="28"/>
          <w:szCs w:val="28"/>
        </w:rPr>
        <w:t>人次，</w:t>
      </w:r>
      <w:r>
        <w:rPr>
          <w:rFonts w:ascii="仿宋" w:hAnsi="仿宋" w:eastAsia="仿宋" w:cs="Times New Roman"/>
          <w:sz w:val="28"/>
          <w:szCs w:val="28"/>
        </w:rPr>
        <w:t>中国电信奖学金</w:t>
      </w:r>
      <w:r>
        <w:rPr>
          <w:rFonts w:hint="eastAsia" w:ascii="仿宋" w:hAnsi="仿宋" w:eastAsia="仿宋" w:cs="Times New Roman"/>
          <w:sz w:val="28"/>
          <w:szCs w:val="28"/>
        </w:rPr>
        <w:t>1人次（全省每年仅5</w:t>
      </w:r>
      <w:r>
        <w:rPr>
          <w:rFonts w:ascii="仿宋" w:hAnsi="仿宋" w:eastAsia="仿宋" w:cs="Times New Roman"/>
          <w:sz w:val="28"/>
          <w:szCs w:val="28"/>
        </w:rPr>
        <w:t>0</w:t>
      </w:r>
      <w:r>
        <w:rPr>
          <w:rFonts w:hint="eastAsia" w:ascii="仿宋" w:hAnsi="仿宋" w:eastAsia="仿宋" w:cs="Times New Roman"/>
          <w:sz w:val="28"/>
          <w:szCs w:val="28"/>
        </w:rPr>
        <w:t>人），B类及以上学科竞赛获奖</w:t>
      </w:r>
      <w:r>
        <w:rPr>
          <w:rFonts w:ascii="仿宋" w:hAnsi="仿宋" w:eastAsia="仿宋" w:cs="Times New Roman"/>
          <w:sz w:val="28"/>
          <w:szCs w:val="28"/>
        </w:rPr>
        <w:t>70</w:t>
      </w:r>
      <w:r>
        <w:rPr>
          <w:rFonts w:hint="eastAsia" w:ascii="仿宋" w:hAnsi="仿宋" w:eastAsia="仿宋" w:cs="Times New Roman"/>
          <w:sz w:val="28"/>
          <w:szCs w:val="28"/>
        </w:rPr>
        <w:t>余人次。</w:t>
      </w:r>
    </w:p>
    <w:p>
      <w:pPr>
        <w:keepNext w:val="0"/>
        <w:keepLines w:val="0"/>
        <w:pageBreakBefore w:val="0"/>
        <w:kinsoku/>
        <w:wordWrap/>
        <w:overflowPunct/>
        <w:topLinePunct w:val="0"/>
        <w:autoSpaceDE/>
        <w:autoSpaceDN/>
        <w:bidi w:val="0"/>
        <w:spacing w:line="500" w:lineRule="exact"/>
        <w:textAlignment w:val="auto"/>
      </w:pPr>
      <w:r>
        <w:rPr>
          <w:rFonts w:hint="eastAsia" w:ascii="仿宋" w:hAnsi="仿宋" w:eastAsia="仿宋" w:cs="Times New Roman"/>
          <w:sz w:val="28"/>
          <w:szCs w:val="28"/>
        </w:rPr>
        <w:t>4、在历次的基础课程月考及所有课程的期末考试中，应化拔尖班的考试通过率在学院各专业班级中均位居首位。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hYzZkNjhmYmNkOTNiZjJkNTRiMWRlMDg4NDZhZTMifQ=="/>
  </w:docVars>
  <w:rsids>
    <w:rsidRoot w:val="14C07284"/>
    <w:rsid w:val="14C07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2024-01-03T03:27:00Z</dcterms:created>
  <dc:creator>李杨</dc:creator>
  <cp:lastModifiedBy>李杨</cp:lastModifiedBy>
  <dcterms:modified xsi:type="dcterms:W3CDTF">2024-01-03T03:28:35Z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B2079F6DF57D433CBCAAAB792DDA5600_11</vt:lpwstr>
  </property>
</Properties>
</file>